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A906" w14:textId="77777777" w:rsidR="00C750B6" w:rsidRDefault="00000000">
      <w:r>
        <w:rPr>
          <w:rFonts w:ascii="Libre Franklin" w:eastAsia="Libre Franklin" w:hAnsi="Libre Franklin" w:cs="Libre Frankli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3000F14" wp14:editId="344F19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57348" cy="623331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7348" cy="623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2AFA75" w14:textId="77777777" w:rsidR="00C750B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Skills for Success Curriculum Resource Cover Page</w:t>
      </w:r>
    </w:p>
    <w:p w14:paraId="19D74BF3" w14:textId="77777777" w:rsidR="00C750B6" w:rsidRDefault="00000000">
      <w:pPr>
        <w:spacing w:after="0"/>
        <w:rPr>
          <w:b/>
        </w:rPr>
      </w:pPr>
      <w:r>
        <w:rPr>
          <w:b/>
        </w:rPr>
        <w:t>e-Channel Organization</w:t>
      </w:r>
    </w:p>
    <w:tbl>
      <w:tblPr>
        <w:tblStyle w:val="a"/>
        <w:tblW w:w="3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</w:tblGrid>
      <w:tr w:rsidR="00C750B6" w14:paraId="77BDE986" w14:textId="77777777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5CE6" w14:textId="77777777" w:rsidR="00C750B6" w:rsidRDefault="00000000">
            <w:pPr>
              <w:spacing w:after="0"/>
            </w:pPr>
            <w:r>
              <w:t>Good Learning Anywhere</w:t>
            </w:r>
          </w:p>
        </w:tc>
      </w:tr>
    </w:tbl>
    <w:p w14:paraId="4BB4B131" w14:textId="77777777" w:rsidR="00C750B6" w:rsidRDefault="00C750B6">
      <w:pPr>
        <w:spacing w:after="0"/>
        <w:rPr>
          <w:b/>
        </w:rPr>
      </w:pPr>
    </w:p>
    <w:p w14:paraId="6DFE73D9" w14:textId="77777777" w:rsidR="00C750B6" w:rsidRDefault="00000000">
      <w:pPr>
        <w:spacing w:after="0"/>
        <w:rPr>
          <w:b/>
        </w:rPr>
      </w:pPr>
      <w:r>
        <w:rPr>
          <w:b/>
        </w:rPr>
        <w:t>Curriculum Resource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750B6" w14:paraId="7AA15D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3DDF" w14:textId="77777777" w:rsidR="00C750B6" w:rsidRDefault="0000000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Employment Success for Job Seekers</w:t>
            </w:r>
          </w:p>
          <w:p w14:paraId="3EE57F89" w14:textId="77777777" w:rsidR="00C750B6" w:rsidRDefault="00C750B6">
            <w:pPr>
              <w:spacing w:after="0"/>
            </w:pPr>
          </w:p>
          <w:p w14:paraId="055A775A" w14:textId="77777777" w:rsidR="00C750B6" w:rsidRDefault="00000000">
            <w:pPr>
              <w:spacing w:after="0"/>
            </w:pPr>
            <w:r>
              <w:t xml:space="preserve">This course is designed for job seekers looking for new employment opportunities. On top of </w:t>
            </w:r>
            <w:proofErr w:type="gramStart"/>
            <w:r>
              <w:t>helping</w:t>
            </w:r>
            <w:proofErr w:type="gramEnd"/>
            <w:r>
              <w:t xml:space="preserve"> you build upon your job application, resumé, and cover page writing skills, this short course will discuss the nine employment Skills for Success, review job-searching strategies, introduce different types of interview questions, and more! Join us to learn some tips and creative ideas to help you successfully land your next job with confidence.</w:t>
            </w:r>
          </w:p>
        </w:tc>
      </w:tr>
    </w:tbl>
    <w:p w14:paraId="1B82A0B7" w14:textId="77777777" w:rsidR="00C750B6" w:rsidRDefault="00C750B6">
      <w:pPr>
        <w:spacing w:after="0" w:line="240" w:lineRule="auto"/>
      </w:pPr>
    </w:p>
    <w:p w14:paraId="7D5C3EC1" w14:textId="77777777" w:rsidR="00C750B6" w:rsidRDefault="00000000">
      <w:pPr>
        <w:spacing w:after="0" w:line="240" w:lineRule="auto"/>
        <w:rPr>
          <w:b/>
        </w:rPr>
      </w:pPr>
      <w:r>
        <w:rPr>
          <w:b/>
        </w:rPr>
        <w:t>OALCF Alignment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C750B6" w14:paraId="79FF76BE" w14:textId="77777777"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6DBE" w14:textId="77777777" w:rsidR="00C750B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</w:t>
            </w:r>
          </w:p>
        </w:tc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0722" w14:textId="77777777" w:rsidR="00C750B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</w:t>
            </w:r>
          </w:p>
        </w:tc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9FE2" w14:textId="77777777" w:rsidR="00C750B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</w:tr>
      <w:tr w:rsidR="00C750B6" w14:paraId="5C5C5B91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4877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 - Find and Use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D75F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A1 - Read Continuous Text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1EB2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A1.1 - A1.2</w:t>
            </w:r>
          </w:p>
        </w:tc>
      </w:tr>
      <w:tr w:rsidR="00C750B6" w14:paraId="4612A99F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BFC3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 - Find and Use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7FDF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A2 - Interpret documents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544B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A2.2</w:t>
            </w:r>
          </w:p>
        </w:tc>
      </w:tr>
      <w:tr w:rsidR="00C750B6" w14:paraId="558DFB3E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1393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proofErr w:type="gramStart"/>
            <w:r>
              <w:rPr>
                <w:b/>
              </w:rPr>
              <w:t>-  Communicate</w:t>
            </w:r>
            <w:proofErr w:type="gramEnd"/>
            <w:r>
              <w:rPr>
                <w:b/>
              </w:rPr>
              <w:t xml:space="preserve"> Ideas and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CDEF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B2 - Write Continuous Text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3A5F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B2.1</w:t>
            </w:r>
          </w:p>
        </w:tc>
      </w:tr>
      <w:tr w:rsidR="00C750B6" w14:paraId="3DA5020B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6439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proofErr w:type="gramStart"/>
            <w:r>
              <w:rPr>
                <w:b/>
              </w:rPr>
              <w:t>-  Communicate</w:t>
            </w:r>
            <w:proofErr w:type="gramEnd"/>
            <w:r>
              <w:rPr>
                <w:b/>
              </w:rPr>
              <w:t xml:space="preserve"> Ideas and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AB5D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B3 - Complete and create documents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BB4B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B3.2</w:t>
            </w:r>
          </w:p>
        </w:tc>
      </w:tr>
      <w:tr w:rsidR="00C750B6" w14:paraId="45DDA0B9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29A6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D - Use Digital Technology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B459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D - Use Digital Technology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9BAB" w14:textId="77777777" w:rsidR="00C750B6" w:rsidRDefault="00000000">
            <w:pPr>
              <w:rPr>
                <w:b/>
              </w:rPr>
            </w:pPr>
            <w:r>
              <w:rPr>
                <w:b/>
              </w:rPr>
              <w:t>D.1 - D.3</w:t>
            </w:r>
          </w:p>
        </w:tc>
      </w:tr>
    </w:tbl>
    <w:p w14:paraId="626BBC7C" w14:textId="77777777" w:rsidR="00C750B6" w:rsidRDefault="00C750B6">
      <w:pPr>
        <w:rPr>
          <w:b/>
          <w:sz w:val="24"/>
          <w:szCs w:val="24"/>
        </w:rPr>
      </w:pPr>
    </w:p>
    <w:p w14:paraId="5A2AD4BC" w14:textId="77777777" w:rsidR="00C750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 Paths (check all that apply)</w:t>
      </w:r>
    </w:p>
    <w:tbl>
      <w:tblPr>
        <w:tblStyle w:val="a2"/>
        <w:tblW w:w="7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544"/>
      </w:tblGrid>
      <w:tr w:rsidR="00C750B6" w14:paraId="69FFCF32" w14:textId="77777777">
        <w:tc>
          <w:tcPr>
            <w:tcW w:w="4248" w:type="dxa"/>
          </w:tcPr>
          <w:p w14:paraId="38301B85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Employment </w:t>
            </w:r>
          </w:p>
          <w:p w14:paraId="289C9463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Apprenticeship </w:t>
            </w:r>
          </w:p>
          <w:p w14:paraId="19F54FFE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Secondary School Credit</w:t>
            </w:r>
          </w:p>
          <w:p w14:paraId="730A7553" w14:textId="77777777" w:rsidR="00C750B6" w:rsidRDefault="00C750B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3D7E0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Postsecondary</w:t>
            </w:r>
          </w:p>
          <w:p w14:paraId="0CBDADC8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Independence</w:t>
            </w:r>
          </w:p>
          <w:p w14:paraId="63C07971" w14:textId="77777777" w:rsidR="00C750B6" w:rsidRDefault="00C750B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5BCA7A1" w14:textId="77777777" w:rsidR="00C750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Embedded Skills for Success (check all that apply)</w:t>
      </w:r>
    </w:p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4"/>
        <w:gridCol w:w="2943"/>
        <w:gridCol w:w="2943"/>
      </w:tblGrid>
      <w:tr w:rsidR="00C750B6" w14:paraId="319AD1A8" w14:textId="77777777">
        <w:tc>
          <w:tcPr>
            <w:tcW w:w="3474" w:type="dxa"/>
          </w:tcPr>
          <w:p w14:paraId="017785A3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Adaptability</w:t>
            </w:r>
          </w:p>
          <w:p w14:paraId="614E6FE4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Collaboration</w:t>
            </w:r>
          </w:p>
          <w:p w14:paraId="19276815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Communication</w:t>
            </w:r>
          </w:p>
          <w:p w14:paraId="17D09BF0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Creativity and innovation</w:t>
            </w:r>
          </w:p>
          <w:p w14:paraId="38FB0368" w14:textId="77777777" w:rsidR="00C750B6" w:rsidRDefault="00C750B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0BE6F9F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Numeracy</w:t>
            </w:r>
          </w:p>
          <w:p w14:paraId="74CCDB22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Problem Solving</w:t>
            </w:r>
          </w:p>
          <w:p w14:paraId="71FFA647" w14:textId="77777777" w:rsidR="00C750B6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Reading</w:t>
            </w:r>
          </w:p>
          <w:p w14:paraId="779AE69A" w14:textId="77777777" w:rsidR="00C750B6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Writing</w:t>
            </w:r>
          </w:p>
        </w:tc>
        <w:tc>
          <w:tcPr>
            <w:tcW w:w="2942" w:type="dxa"/>
          </w:tcPr>
          <w:p w14:paraId="0C8DA90B" w14:textId="77777777" w:rsidR="00C750B6" w:rsidRDefault="00000000">
            <w:pPr>
              <w:spacing w:after="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highlight w:val="black"/>
              </w:rPr>
              <w:t>☐</w:t>
            </w:r>
            <w:r>
              <w:rPr>
                <w:sz w:val="24"/>
                <w:szCs w:val="24"/>
              </w:rPr>
              <w:t xml:space="preserve"> Digital</w:t>
            </w:r>
          </w:p>
        </w:tc>
      </w:tr>
    </w:tbl>
    <w:p w14:paraId="1B69D886" w14:textId="77777777" w:rsidR="00C750B6" w:rsidRDefault="00C7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4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C750B6" w14:paraId="290CAFE0" w14:textId="77777777">
        <w:trPr>
          <w:trHeight w:val="725"/>
        </w:trPr>
        <w:tc>
          <w:tcPr>
            <w:tcW w:w="9019" w:type="dxa"/>
          </w:tcPr>
          <w:p w14:paraId="46A452E3" w14:textId="77777777" w:rsidR="00C750B6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Notes:</w:t>
            </w:r>
            <w:r>
              <w:rPr>
                <w:b/>
                <w:sz w:val="24"/>
                <w:szCs w:val="24"/>
              </w:rPr>
              <w:br/>
            </w:r>
          </w:p>
        </w:tc>
      </w:tr>
    </w:tbl>
    <w:p w14:paraId="66C3DCF2" w14:textId="77777777" w:rsidR="00C750B6" w:rsidRDefault="00C750B6">
      <w:pPr>
        <w:spacing w:after="0"/>
      </w:pPr>
    </w:p>
    <w:sectPr w:rsidR="00C750B6">
      <w:footerReference w:type="default" r:id="rId7"/>
      <w:pgSz w:w="12240" w:h="20160"/>
      <w:pgMar w:top="40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7260" w14:textId="77777777" w:rsidR="007D04B5" w:rsidRDefault="007D04B5">
      <w:pPr>
        <w:spacing w:after="0" w:line="240" w:lineRule="auto"/>
      </w:pPr>
      <w:r>
        <w:separator/>
      </w:r>
    </w:p>
  </w:endnote>
  <w:endnote w:type="continuationSeparator" w:id="0">
    <w:p w14:paraId="61C8DCDA" w14:textId="77777777" w:rsidR="007D04B5" w:rsidRDefault="007D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399F" w14:textId="77777777" w:rsidR="00C750B6" w:rsidRDefault="00C750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38FF" w14:textId="77777777" w:rsidR="007D04B5" w:rsidRDefault="007D04B5">
      <w:pPr>
        <w:spacing w:after="0" w:line="240" w:lineRule="auto"/>
      </w:pPr>
      <w:r>
        <w:separator/>
      </w:r>
    </w:p>
  </w:footnote>
  <w:footnote w:type="continuationSeparator" w:id="0">
    <w:p w14:paraId="5FA14FE3" w14:textId="77777777" w:rsidR="007D04B5" w:rsidRDefault="007D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6"/>
    <w:rsid w:val="007D04B5"/>
    <w:rsid w:val="00AC3972"/>
    <w:rsid w:val="00C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A9D5"/>
  <w15:docId w15:val="{5E5E40D1-04C3-AB4C-BB14-006DD8FC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Gauvreau</cp:lastModifiedBy>
  <cp:revision>2</cp:revision>
  <dcterms:created xsi:type="dcterms:W3CDTF">2023-07-21T15:17:00Z</dcterms:created>
  <dcterms:modified xsi:type="dcterms:W3CDTF">2023-07-21T15:17:00Z</dcterms:modified>
</cp:coreProperties>
</file>